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3C7" w:rsidRDefault="00EC583A">
      <w:pPr>
        <w:pStyle w:val="a3"/>
        <w:jc w:val="center"/>
        <w:rPr>
          <w:color w:val="000000" w:themeColor="text1"/>
          <w:sz w:val="44"/>
          <w:szCs w:val="44"/>
        </w:rPr>
      </w:pPr>
      <w:r>
        <w:rPr>
          <w:rFonts w:ascii="隶书" w:eastAsia="隶书" w:hint="eastAsia"/>
          <w:bCs/>
          <w:color w:val="000000" w:themeColor="text1"/>
          <w:sz w:val="44"/>
          <w:szCs w:val="44"/>
        </w:rPr>
        <w:t>评分标准及办法</w:t>
      </w:r>
    </w:p>
    <w:p w:rsidR="00BF33C7" w:rsidRDefault="00EC583A">
      <w:pPr>
        <w:pStyle w:val="a3"/>
        <w:jc w:val="center"/>
        <w:rPr>
          <w:b/>
          <w:color w:val="000000" w:themeColor="text1"/>
          <w:sz w:val="36"/>
          <w:szCs w:val="36"/>
        </w:rPr>
      </w:pPr>
      <w:r>
        <w:rPr>
          <w:rFonts w:hint="eastAsia"/>
          <w:b/>
          <w:color w:val="000000" w:themeColor="text1"/>
          <w:sz w:val="36"/>
          <w:szCs w:val="36"/>
        </w:rPr>
        <w:t>A分标</w:t>
      </w:r>
      <w:r w:rsidR="00FE56C7">
        <w:rPr>
          <w:rFonts w:hint="eastAsia"/>
          <w:b/>
          <w:color w:val="000000" w:themeColor="text1"/>
          <w:sz w:val="36"/>
          <w:szCs w:val="36"/>
        </w:rPr>
        <w:t>评分办法</w:t>
      </w:r>
    </w:p>
    <w:p w:rsidR="00BF33C7" w:rsidRDefault="00BF33C7">
      <w:pPr>
        <w:pStyle w:val="a3"/>
        <w:rPr>
          <w:color w:val="000000" w:themeColor="text1"/>
          <w:sz w:val="24"/>
          <w:szCs w:val="24"/>
        </w:rPr>
      </w:pPr>
    </w:p>
    <w:p w:rsidR="00BF33C7" w:rsidRDefault="00EC583A">
      <w:pPr>
        <w:spacing w:line="560" w:lineRule="exact"/>
        <w:ind w:firstLineChars="200" w:firstLine="422"/>
        <w:rPr>
          <w:rFonts w:ascii="宋体" w:hAnsi="宋体" w:cs="宋体"/>
          <w:b/>
          <w:color w:val="000000" w:themeColor="text1"/>
          <w:szCs w:val="21"/>
        </w:rPr>
      </w:pPr>
      <w:r>
        <w:rPr>
          <w:rFonts w:ascii="宋体" w:hAnsi="宋体" w:cs="宋体" w:hint="eastAsia"/>
          <w:b/>
          <w:color w:val="000000" w:themeColor="text1"/>
          <w:szCs w:val="21"/>
        </w:rPr>
        <w:t>一、评标原则</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（一）评委构成：本招标采购项目的评委分别由依法组成的评审专家、采购单位代表共三人及以上单数构成，其中专家人数不少于成员总数的三分之二。</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（二）评标依据：评委将以采购文件、样品为评标依据，对投标供应商的报价、产品品质、服务、商务等方面内容按百分制打分。</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（三）评标方式：以封闭方式进行。</w:t>
      </w:r>
    </w:p>
    <w:p w:rsidR="00BF33C7" w:rsidRDefault="00EC583A">
      <w:pPr>
        <w:spacing w:line="560" w:lineRule="exact"/>
        <w:ind w:firstLineChars="200" w:firstLine="422"/>
        <w:rPr>
          <w:rFonts w:ascii="宋体" w:hAnsi="宋体" w:cs="宋体"/>
          <w:b/>
          <w:color w:val="000000" w:themeColor="text1"/>
          <w:szCs w:val="21"/>
        </w:rPr>
      </w:pPr>
      <w:r>
        <w:rPr>
          <w:rFonts w:ascii="宋体" w:hAnsi="宋体" w:cs="宋体" w:hint="eastAsia"/>
          <w:b/>
          <w:color w:val="000000" w:themeColor="text1"/>
          <w:szCs w:val="21"/>
        </w:rPr>
        <w:t>二、评分办法</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（一）对进入详评的，采用百分制综合评分法</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（二）计分办法（按四舍五入取至百分位）</w:t>
      </w:r>
    </w:p>
    <w:p w:rsidR="00BF33C7" w:rsidRDefault="00EC583A">
      <w:pPr>
        <w:spacing w:line="560" w:lineRule="exact"/>
        <w:ind w:firstLineChars="200" w:firstLine="422"/>
        <w:rPr>
          <w:rFonts w:ascii="宋体" w:hAnsi="宋体" w:cs="宋体"/>
          <w:b/>
          <w:bCs/>
          <w:color w:val="000000" w:themeColor="text1"/>
          <w:szCs w:val="21"/>
        </w:rPr>
      </w:pPr>
      <w:r>
        <w:rPr>
          <w:rFonts w:ascii="宋体" w:hAnsi="宋体" w:cs="宋体" w:hint="eastAsia"/>
          <w:b/>
          <w:bCs/>
          <w:color w:val="000000" w:themeColor="text1"/>
          <w:szCs w:val="21"/>
        </w:rPr>
        <w:t>1、价格分····················································50分</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以通过资格性审查的有效投标报价中的最高投标报价作为评标基准价，价格分计算公式:</w:t>
      </w:r>
    </w:p>
    <w:tbl>
      <w:tblPr>
        <w:tblpPr w:leftFromText="180" w:rightFromText="180" w:vertAnchor="text" w:horzAnchor="page" w:tblpX="1670" w:tblpY="95"/>
        <w:tblOverlap w:val="never"/>
        <w:tblW w:w="0" w:type="auto"/>
        <w:tblLayout w:type="fixed"/>
        <w:tblLook w:val="04A0" w:firstRow="1" w:lastRow="0" w:firstColumn="1" w:lastColumn="0" w:noHBand="0" w:noVBand="1"/>
      </w:tblPr>
      <w:tblGrid>
        <w:gridCol w:w="2867"/>
        <w:gridCol w:w="3053"/>
        <w:gridCol w:w="1888"/>
      </w:tblGrid>
      <w:tr w:rsidR="00BF33C7">
        <w:trPr>
          <w:cantSplit/>
          <w:trHeight w:val="463"/>
        </w:trPr>
        <w:tc>
          <w:tcPr>
            <w:tcW w:w="2867" w:type="dxa"/>
            <w:vMerge w:val="restart"/>
            <w:tcBorders>
              <w:top w:val="nil"/>
              <w:left w:val="nil"/>
              <w:right w:val="nil"/>
            </w:tcBorders>
            <w:vAlign w:val="center"/>
          </w:tcPr>
          <w:p w:rsidR="00BF33C7" w:rsidRDefault="00EC583A">
            <w:pPr>
              <w:spacing w:line="42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某投标人价格得分=</w:t>
            </w:r>
          </w:p>
        </w:tc>
        <w:tc>
          <w:tcPr>
            <w:tcW w:w="3053" w:type="dxa"/>
            <w:tcBorders>
              <w:top w:val="nil"/>
              <w:left w:val="nil"/>
              <w:bottom w:val="single" w:sz="4" w:space="0" w:color="auto"/>
              <w:right w:val="nil"/>
            </w:tcBorders>
            <w:vAlign w:val="bottom"/>
          </w:tcPr>
          <w:p w:rsidR="00BF33C7" w:rsidRDefault="00EC583A">
            <w:pPr>
              <w:spacing w:line="420" w:lineRule="exact"/>
              <w:jc w:val="center"/>
              <w:rPr>
                <w:rFonts w:ascii="宋体" w:hAnsi="宋体" w:cs="宋体"/>
                <w:color w:val="000000" w:themeColor="text1"/>
                <w:szCs w:val="21"/>
              </w:rPr>
            </w:pPr>
            <w:r>
              <w:rPr>
                <w:rFonts w:ascii="宋体" w:hAnsi="宋体" w:hint="eastAsia"/>
                <w:color w:val="000000" w:themeColor="text1"/>
                <w:szCs w:val="21"/>
              </w:rPr>
              <w:t>某投标人报实际价值金额</w:t>
            </w:r>
          </w:p>
        </w:tc>
        <w:tc>
          <w:tcPr>
            <w:tcW w:w="1888" w:type="dxa"/>
            <w:vMerge w:val="restart"/>
            <w:tcBorders>
              <w:top w:val="nil"/>
              <w:left w:val="nil"/>
              <w:right w:val="nil"/>
            </w:tcBorders>
            <w:vAlign w:val="center"/>
          </w:tcPr>
          <w:p w:rsidR="00BF33C7" w:rsidRDefault="00EC583A">
            <w:pPr>
              <w:spacing w:line="42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×50分</w:t>
            </w:r>
          </w:p>
        </w:tc>
      </w:tr>
      <w:tr w:rsidR="00BF33C7">
        <w:trPr>
          <w:cantSplit/>
          <w:trHeight w:val="450"/>
        </w:trPr>
        <w:tc>
          <w:tcPr>
            <w:tcW w:w="2867" w:type="dxa"/>
            <w:vMerge/>
            <w:tcBorders>
              <w:left w:val="nil"/>
              <w:right w:val="nil"/>
            </w:tcBorders>
          </w:tcPr>
          <w:p w:rsidR="00BF33C7" w:rsidRDefault="00BF33C7">
            <w:pPr>
              <w:spacing w:line="420" w:lineRule="exact"/>
              <w:rPr>
                <w:rFonts w:ascii="宋体" w:hAnsi="宋体" w:cs="宋体"/>
                <w:color w:val="000000" w:themeColor="text1"/>
                <w:szCs w:val="21"/>
              </w:rPr>
            </w:pPr>
          </w:p>
        </w:tc>
        <w:tc>
          <w:tcPr>
            <w:tcW w:w="3053" w:type="dxa"/>
            <w:tcBorders>
              <w:top w:val="single" w:sz="4" w:space="0" w:color="auto"/>
              <w:left w:val="nil"/>
              <w:bottom w:val="nil"/>
              <w:right w:val="nil"/>
            </w:tcBorders>
            <w:vAlign w:val="center"/>
          </w:tcPr>
          <w:p w:rsidR="00BF33C7" w:rsidRDefault="00EC583A">
            <w:pPr>
              <w:spacing w:line="420" w:lineRule="exact"/>
              <w:jc w:val="center"/>
              <w:rPr>
                <w:rFonts w:ascii="宋体" w:hAnsi="宋体" w:cs="宋体"/>
                <w:color w:val="000000" w:themeColor="text1"/>
                <w:szCs w:val="21"/>
              </w:rPr>
            </w:pPr>
            <w:r>
              <w:rPr>
                <w:rFonts w:ascii="宋体" w:hAnsi="宋体" w:hint="eastAsia"/>
                <w:color w:val="000000" w:themeColor="text1"/>
                <w:szCs w:val="21"/>
              </w:rPr>
              <w:t>投标人最高实际价值金额</w:t>
            </w:r>
          </w:p>
        </w:tc>
        <w:tc>
          <w:tcPr>
            <w:tcW w:w="1888" w:type="dxa"/>
            <w:vMerge/>
            <w:tcBorders>
              <w:left w:val="nil"/>
              <w:right w:val="nil"/>
            </w:tcBorders>
          </w:tcPr>
          <w:p w:rsidR="00BF33C7" w:rsidRDefault="00BF33C7">
            <w:pPr>
              <w:spacing w:line="420" w:lineRule="exact"/>
              <w:rPr>
                <w:rFonts w:ascii="宋体" w:hAnsi="宋体" w:cs="宋体"/>
                <w:color w:val="000000" w:themeColor="text1"/>
                <w:szCs w:val="21"/>
              </w:rPr>
            </w:pPr>
          </w:p>
        </w:tc>
      </w:tr>
    </w:tbl>
    <w:p w:rsidR="00BF33C7" w:rsidRDefault="00BF33C7">
      <w:pPr>
        <w:jc w:val="left"/>
        <w:rPr>
          <w:rFonts w:ascii="宋体" w:hAnsi="宋体" w:cs="宋体"/>
          <w:color w:val="000000" w:themeColor="text1"/>
          <w:szCs w:val="21"/>
        </w:rPr>
      </w:pPr>
    </w:p>
    <w:p w:rsidR="00BF33C7" w:rsidRDefault="00BF33C7">
      <w:pPr>
        <w:jc w:val="left"/>
        <w:rPr>
          <w:rFonts w:ascii="宋体" w:hAnsi="宋体" w:cs="宋体"/>
          <w:color w:val="000000" w:themeColor="text1"/>
          <w:szCs w:val="21"/>
        </w:rPr>
      </w:pPr>
    </w:p>
    <w:p w:rsidR="00BF33C7" w:rsidRDefault="00BF33C7">
      <w:pPr>
        <w:jc w:val="left"/>
        <w:rPr>
          <w:rFonts w:ascii="宋体" w:hAnsi="宋体" w:cs="宋体"/>
          <w:color w:val="000000" w:themeColor="text1"/>
          <w:szCs w:val="21"/>
        </w:rPr>
      </w:pPr>
    </w:p>
    <w:p w:rsidR="00BF33C7" w:rsidRDefault="00BF33C7">
      <w:pPr>
        <w:spacing w:line="560" w:lineRule="exact"/>
        <w:ind w:firstLineChars="200" w:firstLine="420"/>
        <w:rPr>
          <w:rFonts w:ascii="宋体" w:hAnsi="宋体" w:cs="宋体"/>
          <w:color w:val="000000" w:themeColor="text1"/>
          <w:szCs w:val="21"/>
        </w:rPr>
      </w:pPr>
    </w:p>
    <w:p w:rsidR="00BF33C7" w:rsidRDefault="00EC583A">
      <w:pPr>
        <w:spacing w:line="560" w:lineRule="exact"/>
        <w:ind w:firstLineChars="200" w:firstLine="422"/>
        <w:rPr>
          <w:rFonts w:ascii="宋体" w:hAnsi="宋体" w:cs="宋体"/>
          <w:b/>
          <w:bCs/>
          <w:color w:val="000000" w:themeColor="text1"/>
          <w:szCs w:val="21"/>
        </w:rPr>
      </w:pPr>
      <w:r>
        <w:rPr>
          <w:rFonts w:ascii="宋体" w:hAnsi="宋体" w:cs="宋体" w:hint="eastAsia"/>
          <w:b/>
          <w:bCs/>
          <w:color w:val="000000" w:themeColor="text1"/>
          <w:szCs w:val="21"/>
        </w:rPr>
        <w:t>2、产品品质分··················································35分</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投标人提供1种具有代表性的产品，由专家评委现场品尝后酌情打分，横向比较后进行打分。</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a.一档20—30分，产品口味纯正，奶香味浓烈，奶油新鲜、涂抹均匀，入口即化，清爽不腻；内部所夹馅料均匀，层次分明，表层或内部果料新鲜，口感好；蛋糕胚颜色金黄，外形规则，质地柔软，香味浓郁；造型完整新颖，无凹陷，无裂纹。</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b.二档10—19分，产品口味较为纯正，有奶香味，奶油涂抹较均匀、细腻，口感松喧香甜；内部所夹的馅料均匀，表层或内部果料较为新鲜；蛋糕胚颜色稍深或稍浅，质地较硬或较软，香味不足；造型较好，略有邹缩、凹陷、裂纹。</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c.三档1—9分，产品口味一般，甜腻、奶香味不明显，奶油涂抹较粗糙，有异味；内部所夹的馅料</w:t>
      </w:r>
      <w:r>
        <w:rPr>
          <w:rFonts w:ascii="宋体" w:hAnsi="宋体" w:cs="宋体" w:hint="eastAsia"/>
          <w:color w:val="000000" w:themeColor="text1"/>
          <w:szCs w:val="21"/>
        </w:rPr>
        <w:lastRenderedPageBreak/>
        <w:t>均匀，表层或内部果料不太新鲜；蛋糕胚颜色过差，质地过硬或过软；造型不完整，凹陷，有裂纹，易碎。</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食品配料必须健康无害，其中奶油为纯动物奶油并能提供相关证明的得5，否则不得分。</w:t>
      </w:r>
    </w:p>
    <w:p w:rsidR="00BF33C7" w:rsidRDefault="00EC583A">
      <w:pPr>
        <w:spacing w:line="560" w:lineRule="exact"/>
        <w:ind w:firstLineChars="200" w:firstLine="422"/>
        <w:rPr>
          <w:rFonts w:ascii="宋体" w:hAnsi="宋体" w:cs="宋体"/>
          <w:b/>
          <w:bCs/>
          <w:color w:val="000000" w:themeColor="text1"/>
          <w:szCs w:val="21"/>
        </w:rPr>
      </w:pPr>
      <w:r>
        <w:rPr>
          <w:rFonts w:ascii="宋体" w:hAnsi="宋体" w:cs="宋体" w:hint="eastAsia"/>
          <w:b/>
          <w:bCs/>
          <w:color w:val="000000" w:themeColor="text1"/>
          <w:szCs w:val="21"/>
        </w:rPr>
        <w:t>3、服务分·····················································10分</w:t>
      </w:r>
    </w:p>
    <w:p w:rsidR="00BF33C7" w:rsidRDefault="00EC583A">
      <w:pPr>
        <w:pStyle w:val="a3"/>
        <w:spacing w:line="368" w:lineRule="auto"/>
        <w:ind w:firstLineChars="200" w:firstLine="420"/>
        <w:outlineLvl w:val="0"/>
        <w:rPr>
          <w:rFonts w:hAnsi="宋体" w:cs="宋体"/>
          <w:color w:val="000000" w:themeColor="text1"/>
          <w:szCs w:val="21"/>
        </w:rPr>
      </w:pPr>
      <w:r>
        <w:rPr>
          <w:rFonts w:hAnsi="宋体" w:cs="宋体" w:hint="eastAsia"/>
          <w:color w:val="000000" w:themeColor="text1"/>
          <w:szCs w:val="21"/>
        </w:rPr>
        <w:t>（1）南宁市区内分店数量（3分）</w:t>
      </w:r>
    </w:p>
    <w:p w:rsidR="00BF33C7" w:rsidRDefault="00EC583A">
      <w:pPr>
        <w:pStyle w:val="a3"/>
        <w:spacing w:line="368" w:lineRule="auto"/>
        <w:ind w:firstLineChars="450" w:firstLine="945"/>
        <w:outlineLvl w:val="0"/>
        <w:rPr>
          <w:rFonts w:hAnsi="宋体" w:cs="宋体"/>
          <w:color w:val="000000" w:themeColor="text1"/>
          <w:szCs w:val="21"/>
        </w:rPr>
      </w:pPr>
      <w:r>
        <w:rPr>
          <w:rFonts w:hAnsi="宋体" w:cs="宋体" w:hint="eastAsia"/>
          <w:color w:val="000000" w:themeColor="text1"/>
          <w:szCs w:val="21"/>
        </w:rPr>
        <w:t>a.大于等于3个小于6个得1分；</w:t>
      </w:r>
    </w:p>
    <w:p w:rsidR="00BF33C7" w:rsidRDefault="00EC583A">
      <w:pPr>
        <w:pStyle w:val="a3"/>
        <w:spacing w:line="368" w:lineRule="auto"/>
        <w:ind w:firstLineChars="450" w:firstLine="945"/>
        <w:outlineLvl w:val="0"/>
        <w:rPr>
          <w:rFonts w:hAnsi="宋体" w:cs="宋体"/>
          <w:color w:val="000000" w:themeColor="text1"/>
          <w:szCs w:val="21"/>
        </w:rPr>
      </w:pPr>
      <w:r>
        <w:rPr>
          <w:rFonts w:hAnsi="宋体" w:cs="宋体" w:hint="eastAsia"/>
          <w:color w:val="000000" w:themeColor="text1"/>
          <w:szCs w:val="21"/>
        </w:rPr>
        <w:t>b.小于等于6个得2分；</w:t>
      </w:r>
    </w:p>
    <w:p w:rsidR="00BF33C7" w:rsidRDefault="00EC583A">
      <w:pPr>
        <w:pStyle w:val="a3"/>
        <w:spacing w:line="368" w:lineRule="auto"/>
        <w:ind w:firstLineChars="450" w:firstLine="945"/>
        <w:outlineLvl w:val="0"/>
        <w:rPr>
          <w:rFonts w:hAnsi="宋体" w:cs="宋体"/>
          <w:color w:val="000000" w:themeColor="text1"/>
          <w:szCs w:val="21"/>
        </w:rPr>
      </w:pPr>
      <w:r>
        <w:rPr>
          <w:rFonts w:hAnsi="宋体" w:cs="宋体" w:hint="eastAsia"/>
          <w:color w:val="000000" w:themeColor="text1"/>
          <w:szCs w:val="21"/>
        </w:rPr>
        <w:t>c.大于6个得3分；</w:t>
      </w:r>
    </w:p>
    <w:p w:rsidR="00BF33C7" w:rsidRDefault="00EC583A">
      <w:pPr>
        <w:pStyle w:val="a3"/>
        <w:spacing w:line="368" w:lineRule="auto"/>
        <w:ind w:firstLineChars="200" w:firstLine="420"/>
        <w:outlineLvl w:val="0"/>
        <w:rPr>
          <w:rFonts w:hAnsi="宋体" w:cs="宋体"/>
          <w:color w:val="000000" w:themeColor="text1"/>
          <w:szCs w:val="21"/>
        </w:rPr>
      </w:pPr>
      <w:r>
        <w:rPr>
          <w:rFonts w:hAnsi="宋体" w:cs="宋体" w:hint="eastAsia"/>
          <w:color w:val="000000" w:themeColor="text1"/>
          <w:szCs w:val="21"/>
        </w:rPr>
        <w:t>（2）送货上门（4分）</w:t>
      </w:r>
    </w:p>
    <w:p w:rsidR="00BF33C7" w:rsidRDefault="00EC583A">
      <w:pPr>
        <w:pStyle w:val="a3"/>
        <w:spacing w:line="368" w:lineRule="auto"/>
        <w:ind w:firstLineChars="450" w:firstLine="945"/>
        <w:outlineLvl w:val="0"/>
        <w:rPr>
          <w:rFonts w:hAnsi="宋体" w:cs="宋体"/>
          <w:color w:val="000000" w:themeColor="text1"/>
          <w:szCs w:val="21"/>
        </w:rPr>
      </w:pPr>
      <w:r>
        <w:rPr>
          <w:rFonts w:hAnsi="宋体" w:cs="宋体" w:hint="eastAsia"/>
          <w:color w:val="000000" w:themeColor="text1"/>
          <w:szCs w:val="21"/>
        </w:rPr>
        <w:t>a.小于等于5公里得1分；</w:t>
      </w:r>
    </w:p>
    <w:p w:rsidR="00BF33C7" w:rsidRDefault="00EC583A">
      <w:pPr>
        <w:pStyle w:val="a3"/>
        <w:spacing w:line="368" w:lineRule="auto"/>
        <w:ind w:firstLineChars="450" w:firstLine="945"/>
        <w:outlineLvl w:val="0"/>
        <w:rPr>
          <w:rFonts w:hAnsi="宋体" w:cs="宋体"/>
          <w:color w:val="000000" w:themeColor="text1"/>
          <w:szCs w:val="21"/>
        </w:rPr>
      </w:pPr>
      <w:r>
        <w:rPr>
          <w:rFonts w:hAnsi="宋体" w:cs="宋体" w:hint="eastAsia"/>
          <w:color w:val="000000" w:themeColor="text1"/>
          <w:szCs w:val="21"/>
        </w:rPr>
        <w:t>b.大于5公里小于等于10公里得2分；</w:t>
      </w:r>
    </w:p>
    <w:p w:rsidR="00BF33C7" w:rsidRDefault="00EC583A">
      <w:pPr>
        <w:pStyle w:val="a3"/>
        <w:spacing w:line="368" w:lineRule="auto"/>
        <w:ind w:firstLineChars="450" w:firstLine="945"/>
        <w:outlineLvl w:val="0"/>
        <w:rPr>
          <w:rFonts w:hAnsi="宋体" w:cs="宋体"/>
          <w:color w:val="000000" w:themeColor="text1"/>
          <w:szCs w:val="21"/>
        </w:rPr>
      </w:pPr>
      <w:r>
        <w:rPr>
          <w:rFonts w:hAnsi="宋体" w:cs="宋体" w:hint="eastAsia"/>
          <w:color w:val="000000" w:themeColor="text1"/>
          <w:szCs w:val="21"/>
        </w:rPr>
        <w:t>c.大于10公里小于等于15公里得3分；</w:t>
      </w:r>
    </w:p>
    <w:p w:rsidR="00BF33C7" w:rsidRDefault="00EC583A">
      <w:pPr>
        <w:pStyle w:val="a3"/>
        <w:spacing w:line="368" w:lineRule="auto"/>
        <w:ind w:firstLineChars="450" w:firstLine="945"/>
        <w:outlineLvl w:val="0"/>
        <w:rPr>
          <w:rFonts w:hAnsi="宋体" w:cs="宋体"/>
          <w:color w:val="000000" w:themeColor="text1"/>
          <w:szCs w:val="21"/>
        </w:rPr>
      </w:pPr>
      <w:r>
        <w:rPr>
          <w:rFonts w:hAnsi="宋体" w:cs="宋体" w:hint="eastAsia"/>
          <w:color w:val="000000" w:themeColor="text1"/>
          <w:szCs w:val="21"/>
        </w:rPr>
        <w:t>d.大于15公里得4分；</w:t>
      </w:r>
    </w:p>
    <w:p w:rsidR="00BF33C7" w:rsidRDefault="00EC583A">
      <w:pPr>
        <w:pStyle w:val="a3"/>
        <w:spacing w:line="368" w:lineRule="auto"/>
        <w:ind w:firstLineChars="200" w:firstLine="420"/>
        <w:outlineLvl w:val="0"/>
        <w:rPr>
          <w:rFonts w:hAnsi="宋体" w:cs="宋体"/>
          <w:color w:val="000000" w:themeColor="text1"/>
          <w:szCs w:val="21"/>
        </w:rPr>
      </w:pPr>
      <w:r>
        <w:rPr>
          <w:rFonts w:hAnsi="宋体" w:cs="宋体" w:hint="eastAsia"/>
          <w:color w:val="000000" w:themeColor="text1"/>
          <w:szCs w:val="21"/>
        </w:rPr>
        <w:t>（3）蛋糕券有效期（3分）：</w:t>
      </w:r>
    </w:p>
    <w:p w:rsidR="00BF33C7" w:rsidRDefault="00EC583A">
      <w:pPr>
        <w:pStyle w:val="a3"/>
        <w:spacing w:line="368" w:lineRule="auto"/>
        <w:ind w:firstLineChars="450" w:firstLine="945"/>
        <w:outlineLvl w:val="0"/>
        <w:rPr>
          <w:rFonts w:hAnsi="宋体" w:cs="宋体"/>
          <w:color w:val="000000" w:themeColor="text1"/>
          <w:szCs w:val="21"/>
        </w:rPr>
      </w:pPr>
      <w:r>
        <w:rPr>
          <w:rFonts w:hAnsi="宋体" w:cs="宋体" w:hint="eastAsia"/>
          <w:color w:val="000000" w:themeColor="text1"/>
          <w:szCs w:val="21"/>
        </w:rPr>
        <w:t>a.大于12个月小于等于24个月得2分；</w:t>
      </w:r>
    </w:p>
    <w:p w:rsidR="00BF33C7" w:rsidRDefault="00EC583A">
      <w:pPr>
        <w:pStyle w:val="a3"/>
        <w:spacing w:line="368" w:lineRule="auto"/>
        <w:ind w:firstLineChars="450" w:firstLine="945"/>
        <w:outlineLvl w:val="0"/>
        <w:rPr>
          <w:rFonts w:hAnsi="宋体" w:cs="宋体"/>
          <w:color w:val="000000" w:themeColor="text1"/>
          <w:szCs w:val="21"/>
        </w:rPr>
      </w:pPr>
      <w:r>
        <w:rPr>
          <w:rFonts w:hAnsi="宋体" w:cs="宋体" w:hint="eastAsia"/>
          <w:color w:val="000000" w:themeColor="text1"/>
          <w:szCs w:val="21"/>
        </w:rPr>
        <w:t>b.大于24个月得3分。</w:t>
      </w:r>
    </w:p>
    <w:p w:rsidR="00BF33C7" w:rsidRDefault="00EC583A">
      <w:pPr>
        <w:spacing w:line="560" w:lineRule="exact"/>
        <w:ind w:firstLineChars="200" w:firstLine="422"/>
        <w:rPr>
          <w:rFonts w:ascii="宋体" w:hAnsi="宋体" w:cs="宋体"/>
          <w:b/>
          <w:bCs/>
          <w:color w:val="000000" w:themeColor="text1"/>
          <w:szCs w:val="21"/>
        </w:rPr>
      </w:pPr>
      <w:r>
        <w:rPr>
          <w:rFonts w:ascii="宋体" w:hAnsi="宋体" w:cs="宋体" w:hint="eastAsia"/>
          <w:b/>
          <w:bCs/>
          <w:color w:val="000000" w:themeColor="text1"/>
          <w:szCs w:val="21"/>
        </w:rPr>
        <w:t>4、商务分···················································5分</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（1）2018年以来，具有同类项目业绩案例（每个案例的合同金额≥20万元）的，每有一个得1分，满分4分（提交合同、协议或其他证明材料的复印件供评委审核）；</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（2）响应人提供的且被评审小组认可的优惠措施（如其他产品购买的优惠措施等）得1分。</w:t>
      </w:r>
    </w:p>
    <w:p w:rsidR="00BF33C7" w:rsidRDefault="00EC583A">
      <w:pPr>
        <w:spacing w:line="560" w:lineRule="exact"/>
        <w:ind w:firstLineChars="200" w:firstLine="422"/>
        <w:rPr>
          <w:rFonts w:ascii="宋体" w:hAnsi="宋体" w:cs="宋体"/>
          <w:b/>
          <w:bCs/>
          <w:color w:val="000000" w:themeColor="text1"/>
          <w:szCs w:val="21"/>
        </w:rPr>
      </w:pPr>
      <w:r>
        <w:rPr>
          <w:rFonts w:ascii="宋体" w:hAnsi="宋体" w:cs="宋体" w:hint="eastAsia"/>
          <w:b/>
          <w:bCs/>
          <w:color w:val="000000" w:themeColor="text1"/>
          <w:szCs w:val="21"/>
        </w:rPr>
        <w:t>4、总得分=1+2+3+4</w:t>
      </w:r>
    </w:p>
    <w:p w:rsidR="00BF33C7" w:rsidRDefault="00EC583A">
      <w:pPr>
        <w:spacing w:line="560" w:lineRule="exact"/>
        <w:ind w:firstLineChars="200" w:firstLine="422"/>
        <w:rPr>
          <w:rFonts w:ascii="宋体" w:hAnsi="宋体" w:cs="宋体"/>
          <w:b/>
          <w:bCs/>
          <w:color w:val="000000" w:themeColor="text1"/>
          <w:szCs w:val="21"/>
        </w:rPr>
      </w:pPr>
      <w:r>
        <w:rPr>
          <w:rFonts w:ascii="宋体" w:hAnsi="宋体" w:cs="宋体" w:hint="eastAsia"/>
          <w:b/>
          <w:bCs/>
          <w:color w:val="000000" w:themeColor="text1"/>
          <w:szCs w:val="21"/>
        </w:rPr>
        <w:t>5、成交候选人推荐原则</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评审小组将按评审后得分由高到低顺序排列。得分相同的，按竞标报价由低到高顺序排列。得分且竞标报价相同的并列，需要区分排名次序的，依次按产品品质优先、服务方案及承诺优者优先、商务优先的顺序排列。响应文件文件满足竞争性评审文件全部实质性要求，且评审得分最高的供应商为排名第一的成交候选人。采购人应当确定排名第一的成交候选人为成交供应商。除非有法定事由，如排名第一的成交候选人放弃成交、因不可抗力不能履行合同，或者被查实存在影响成交结果的违法行为等情形，不符合成交条件的，该等情况下，采购人可以按照评审小组提出的成交候选人名单排序依次确定其他成交候选人为成</w:t>
      </w:r>
      <w:r>
        <w:rPr>
          <w:rFonts w:ascii="宋体" w:hAnsi="宋体" w:cs="宋体" w:hint="eastAsia"/>
          <w:color w:val="000000" w:themeColor="text1"/>
          <w:szCs w:val="21"/>
        </w:rPr>
        <w:lastRenderedPageBreak/>
        <w:t>交供应商，也可以重新招标。</w:t>
      </w:r>
    </w:p>
    <w:p w:rsidR="00BF33C7" w:rsidRDefault="00EC583A">
      <w:pPr>
        <w:spacing w:line="560" w:lineRule="exact"/>
        <w:ind w:firstLineChars="200" w:firstLine="422"/>
        <w:rPr>
          <w:rFonts w:ascii="宋体" w:hAnsi="宋体" w:cs="宋体"/>
          <w:b/>
          <w:bCs/>
          <w:color w:val="000000" w:themeColor="text1"/>
          <w:szCs w:val="21"/>
        </w:rPr>
      </w:pPr>
      <w:r>
        <w:rPr>
          <w:rFonts w:ascii="宋体" w:hAnsi="宋体" w:cs="宋体" w:hint="eastAsia"/>
          <w:b/>
          <w:bCs/>
          <w:color w:val="000000" w:themeColor="text1"/>
          <w:szCs w:val="21"/>
        </w:rPr>
        <w:t>6、特别说明</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评审小组认为供应商的竞标报价明显低于其他通过符合性审查供应商的竞标报价，有可能影响服务质量或者不能诚信履约的，应当要求其在评标现场合理的时间内提供书面说明，必要时提交相关证明材料；供应商不能证明其竞标报价合理性的，评审小组应当将其作为无效评审处理。</w:t>
      </w:r>
    </w:p>
    <w:p w:rsidR="00BF33C7" w:rsidRDefault="00BF33C7">
      <w:pPr>
        <w:spacing w:line="560" w:lineRule="exact"/>
        <w:rPr>
          <w:rFonts w:ascii="宋体" w:hAnsi="宋体" w:cs="宋体"/>
          <w:color w:val="000000" w:themeColor="text1"/>
          <w:szCs w:val="21"/>
        </w:rPr>
      </w:pPr>
    </w:p>
    <w:p w:rsidR="00BF33C7" w:rsidRDefault="00BF33C7">
      <w:pPr>
        <w:spacing w:line="560" w:lineRule="exact"/>
        <w:rPr>
          <w:rFonts w:ascii="宋体" w:hAnsi="宋体" w:cs="宋体"/>
          <w:color w:val="000000" w:themeColor="text1"/>
          <w:szCs w:val="21"/>
        </w:rPr>
      </w:pPr>
    </w:p>
    <w:p w:rsidR="00BF33C7" w:rsidRDefault="00BF33C7">
      <w:pPr>
        <w:spacing w:line="560" w:lineRule="exact"/>
        <w:rPr>
          <w:rFonts w:ascii="宋体" w:hAnsi="宋体" w:cs="宋体"/>
          <w:color w:val="000000" w:themeColor="text1"/>
          <w:szCs w:val="21"/>
        </w:rPr>
      </w:pPr>
    </w:p>
    <w:p w:rsidR="00BF33C7" w:rsidRDefault="00BF33C7">
      <w:pPr>
        <w:spacing w:line="560" w:lineRule="exact"/>
        <w:rPr>
          <w:rFonts w:ascii="宋体" w:hAnsi="宋体" w:cs="宋体"/>
          <w:color w:val="000000" w:themeColor="text1"/>
          <w:szCs w:val="21"/>
        </w:rPr>
      </w:pPr>
    </w:p>
    <w:p w:rsidR="00BF33C7" w:rsidRDefault="00BF33C7">
      <w:pPr>
        <w:spacing w:line="560" w:lineRule="exact"/>
        <w:rPr>
          <w:rFonts w:ascii="宋体" w:hAnsi="宋体" w:cs="宋体"/>
          <w:color w:val="000000" w:themeColor="text1"/>
          <w:szCs w:val="21"/>
        </w:rPr>
      </w:pPr>
    </w:p>
    <w:p w:rsidR="00BF33C7" w:rsidRDefault="00BF33C7">
      <w:pPr>
        <w:spacing w:line="560" w:lineRule="exact"/>
        <w:rPr>
          <w:rFonts w:ascii="宋体" w:hAnsi="宋体" w:cs="宋体"/>
          <w:color w:val="000000" w:themeColor="text1"/>
          <w:szCs w:val="21"/>
        </w:rPr>
      </w:pPr>
    </w:p>
    <w:p w:rsidR="00BF33C7" w:rsidRDefault="00BF33C7">
      <w:pPr>
        <w:spacing w:line="560" w:lineRule="exact"/>
        <w:rPr>
          <w:rFonts w:ascii="宋体" w:hAnsi="宋体" w:cs="宋体"/>
          <w:color w:val="000000" w:themeColor="text1"/>
          <w:szCs w:val="21"/>
        </w:rPr>
      </w:pPr>
    </w:p>
    <w:p w:rsidR="00BF33C7" w:rsidRDefault="00BF33C7">
      <w:pPr>
        <w:spacing w:line="560" w:lineRule="exact"/>
        <w:rPr>
          <w:rFonts w:ascii="宋体" w:hAnsi="宋体" w:cs="宋体"/>
          <w:color w:val="000000" w:themeColor="text1"/>
          <w:szCs w:val="21"/>
        </w:rPr>
      </w:pPr>
    </w:p>
    <w:p w:rsidR="00BF33C7" w:rsidRDefault="00BF33C7">
      <w:pPr>
        <w:spacing w:line="560" w:lineRule="exact"/>
        <w:rPr>
          <w:rFonts w:ascii="宋体" w:hAnsi="宋体" w:cs="宋体"/>
          <w:color w:val="000000" w:themeColor="text1"/>
          <w:szCs w:val="21"/>
        </w:rPr>
      </w:pPr>
    </w:p>
    <w:p w:rsidR="00BF33C7" w:rsidRDefault="00BF33C7">
      <w:pPr>
        <w:pStyle w:val="ab"/>
        <w:spacing w:line="560" w:lineRule="exact"/>
        <w:ind w:firstLineChars="0" w:firstLine="0"/>
        <w:jc w:val="center"/>
        <w:rPr>
          <w:rFonts w:ascii="宋体" w:hAnsi="宋体" w:cs="宋体"/>
          <w:b/>
          <w:color w:val="000000" w:themeColor="text1"/>
          <w:sz w:val="36"/>
          <w:szCs w:val="36"/>
        </w:rPr>
      </w:pPr>
    </w:p>
    <w:p w:rsidR="00BF33C7" w:rsidRDefault="00EC583A">
      <w:pPr>
        <w:pStyle w:val="ab"/>
        <w:spacing w:line="560" w:lineRule="exact"/>
        <w:ind w:firstLineChars="0" w:firstLine="0"/>
        <w:jc w:val="center"/>
        <w:rPr>
          <w:rFonts w:ascii="宋体" w:hAnsi="宋体" w:cs="宋体"/>
          <w:b/>
          <w:color w:val="000000" w:themeColor="text1"/>
          <w:sz w:val="36"/>
          <w:szCs w:val="36"/>
        </w:rPr>
      </w:pPr>
      <w:r>
        <w:rPr>
          <w:rFonts w:ascii="宋体" w:hAnsi="宋体" w:cs="宋体" w:hint="eastAsia"/>
          <w:b/>
          <w:color w:val="000000" w:themeColor="text1"/>
          <w:sz w:val="36"/>
          <w:szCs w:val="36"/>
        </w:rPr>
        <w:t>B分标评分办法</w:t>
      </w:r>
    </w:p>
    <w:p w:rsidR="00BF33C7" w:rsidRDefault="00BF33C7">
      <w:pPr>
        <w:spacing w:line="560" w:lineRule="exact"/>
        <w:ind w:firstLineChars="200" w:firstLine="420"/>
        <w:rPr>
          <w:rFonts w:ascii="宋体" w:hAnsi="宋体" w:cs="宋体"/>
          <w:color w:val="000000" w:themeColor="text1"/>
          <w:szCs w:val="21"/>
        </w:rPr>
      </w:pPr>
    </w:p>
    <w:p w:rsidR="00BF33C7" w:rsidRDefault="00EC583A">
      <w:pPr>
        <w:spacing w:line="560" w:lineRule="exact"/>
        <w:ind w:firstLineChars="200" w:firstLine="422"/>
        <w:rPr>
          <w:rFonts w:ascii="宋体" w:hAnsi="宋体" w:cs="宋体"/>
          <w:b/>
          <w:color w:val="000000" w:themeColor="text1"/>
          <w:szCs w:val="21"/>
        </w:rPr>
      </w:pPr>
      <w:r>
        <w:rPr>
          <w:rFonts w:ascii="宋体" w:hAnsi="宋体" w:cs="宋体" w:hint="eastAsia"/>
          <w:b/>
          <w:color w:val="000000" w:themeColor="text1"/>
          <w:szCs w:val="21"/>
        </w:rPr>
        <w:t>一、评标原则</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（一）评委构成：本招标采购项目的评委分别由依法组成的评审专家、采购单位代表共三人及以上单数构成，其中专家人数不少于成员总数的三分之二。</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（二）评标依据：评委将以采购文件、样品为评标依据，对投标供应商的报价、产品品质、服务、商务等方面内容按百分制打分。</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（三）评标方式：以封闭方式进行。</w:t>
      </w:r>
    </w:p>
    <w:p w:rsidR="00BF33C7" w:rsidRDefault="00EC583A">
      <w:pPr>
        <w:spacing w:line="560" w:lineRule="exact"/>
        <w:ind w:firstLineChars="200" w:firstLine="422"/>
        <w:rPr>
          <w:rFonts w:ascii="宋体" w:hAnsi="宋体" w:cs="宋体"/>
          <w:b/>
          <w:color w:val="000000" w:themeColor="text1"/>
          <w:szCs w:val="21"/>
        </w:rPr>
      </w:pPr>
      <w:r>
        <w:rPr>
          <w:rFonts w:ascii="宋体" w:hAnsi="宋体" w:cs="宋体" w:hint="eastAsia"/>
          <w:b/>
          <w:color w:val="000000" w:themeColor="text1"/>
          <w:szCs w:val="21"/>
        </w:rPr>
        <w:t>二、评分办法</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（一）对进入详评的，采用百分制综合评分法</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lastRenderedPageBreak/>
        <w:t>（二）计分办法（按四舍五入取至百分位）</w:t>
      </w:r>
    </w:p>
    <w:p w:rsidR="00BF33C7" w:rsidRDefault="00EC583A">
      <w:pPr>
        <w:spacing w:line="560" w:lineRule="exact"/>
        <w:ind w:firstLineChars="200" w:firstLine="422"/>
        <w:rPr>
          <w:rFonts w:ascii="宋体" w:hAnsi="宋体" w:cs="宋体"/>
          <w:b/>
          <w:bCs/>
          <w:color w:val="000000" w:themeColor="text1"/>
          <w:szCs w:val="21"/>
        </w:rPr>
      </w:pPr>
      <w:r>
        <w:rPr>
          <w:rFonts w:ascii="宋体" w:hAnsi="宋体" w:cs="宋体" w:hint="eastAsia"/>
          <w:b/>
          <w:bCs/>
          <w:color w:val="000000" w:themeColor="text1"/>
          <w:szCs w:val="21"/>
        </w:rPr>
        <w:t>1、价格分····················································50分</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以通过资格性审查的有效投标报价中的最高投标报价作为评标基准价，价格分计算公式:</w:t>
      </w:r>
    </w:p>
    <w:p w:rsidR="00BF33C7" w:rsidRDefault="00BF33C7">
      <w:pPr>
        <w:spacing w:line="560" w:lineRule="exact"/>
        <w:ind w:firstLineChars="200" w:firstLine="420"/>
        <w:rPr>
          <w:rFonts w:ascii="宋体" w:hAnsi="宋体" w:cs="宋体"/>
          <w:color w:val="000000" w:themeColor="text1"/>
          <w:szCs w:val="21"/>
        </w:rPr>
      </w:pPr>
    </w:p>
    <w:tbl>
      <w:tblPr>
        <w:tblpPr w:leftFromText="180" w:rightFromText="180" w:vertAnchor="text" w:horzAnchor="page" w:tblpX="1670" w:tblpY="95"/>
        <w:tblOverlap w:val="never"/>
        <w:tblW w:w="0" w:type="auto"/>
        <w:tblLayout w:type="fixed"/>
        <w:tblLook w:val="04A0" w:firstRow="1" w:lastRow="0" w:firstColumn="1" w:lastColumn="0" w:noHBand="0" w:noVBand="1"/>
      </w:tblPr>
      <w:tblGrid>
        <w:gridCol w:w="2867"/>
        <w:gridCol w:w="3053"/>
        <w:gridCol w:w="1888"/>
      </w:tblGrid>
      <w:tr w:rsidR="00BF33C7">
        <w:trPr>
          <w:cantSplit/>
          <w:trHeight w:val="463"/>
        </w:trPr>
        <w:tc>
          <w:tcPr>
            <w:tcW w:w="2867" w:type="dxa"/>
            <w:vMerge w:val="restart"/>
            <w:tcBorders>
              <w:top w:val="nil"/>
              <w:left w:val="nil"/>
              <w:right w:val="nil"/>
            </w:tcBorders>
            <w:vAlign w:val="center"/>
          </w:tcPr>
          <w:p w:rsidR="00BF33C7" w:rsidRDefault="00EC583A">
            <w:pPr>
              <w:spacing w:line="42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某投标人价格得分=</w:t>
            </w:r>
          </w:p>
        </w:tc>
        <w:tc>
          <w:tcPr>
            <w:tcW w:w="3053" w:type="dxa"/>
            <w:tcBorders>
              <w:top w:val="nil"/>
              <w:left w:val="nil"/>
              <w:bottom w:val="single" w:sz="4" w:space="0" w:color="auto"/>
              <w:right w:val="nil"/>
            </w:tcBorders>
            <w:vAlign w:val="bottom"/>
          </w:tcPr>
          <w:p w:rsidR="00BF33C7" w:rsidRDefault="00EC583A">
            <w:pPr>
              <w:spacing w:line="420" w:lineRule="exact"/>
              <w:jc w:val="center"/>
              <w:rPr>
                <w:rFonts w:ascii="宋体" w:hAnsi="宋体" w:cs="宋体"/>
                <w:color w:val="000000" w:themeColor="text1"/>
                <w:szCs w:val="21"/>
              </w:rPr>
            </w:pPr>
            <w:r>
              <w:rPr>
                <w:rFonts w:ascii="宋体" w:hAnsi="宋体" w:hint="eastAsia"/>
                <w:color w:val="000000" w:themeColor="text1"/>
                <w:szCs w:val="21"/>
              </w:rPr>
              <w:t>某投标人报实际价值金额</w:t>
            </w:r>
          </w:p>
        </w:tc>
        <w:tc>
          <w:tcPr>
            <w:tcW w:w="1888" w:type="dxa"/>
            <w:vMerge w:val="restart"/>
            <w:tcBorders>
              <w:top w:val="nil"/>
              <w:left w:val="nil"/>
              <w:right w:val="nil"/>
            </w:tcBorders>
            <w:vAlign w:val="center"/>
          </w:tcPr>
          <w:p w:rsidR="00BF33C7" w:rsidRDefault="00EC583A">
            <w:pPr>
              <w:spacing w:line="42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×50分</w:t>
            </w:r>
          </w:p>
        </w:tc>
      </w:tr>
      <w:tr w:rsidR="00BF33C7">
        <w:trPr>
          <w:cantSplit/>
          <w:trHeight w:val="450"/>
        </w:trPr>
        <w:tc>
          <w:tcPr>
            <w:tcW w:w="2867" w:type="dxa"/>
            <w:vMerge/>
            <w:tcBorders>
              <w:left w:val="nil"/>
              <w:right w:val="nil"/>
            </w:tcBorders>
          </w:tcPr>
          <w:p w:rsidR="00BF33C7" w:rsidRDefault="00BF33C7">
            <w:pPr>
              <w:spacing w:line="420" w:lineRule="exact"/>
              <w:rPr>
                <w:rFonts w:ascii="宋体" w:hAnsi="宋体" w:cs="宋体"/>
                <w:color w:val="000000" w:themeColor="text1"/>
                <w:szCs w:val="21"/>
              </w:rPr>
            </w:pPr>
          </w:p>
        </w:tc>
        <w:tc>
          <w:tcPr>
            <w:tcW w:w="3053" w:type="dxa"/>
            <w:tcBorders>
              <w:top w:val="single" w:sz="4" w:space="0" w:color="auto"/>
              <w:left w:val="nil"/>
              <w:bottom w:val="nil"/>
              <w:right w:val="nil"/>
            </w:tcBorders>
            <w:vAlign w:val="center"/>
          </w:tcPr>
          <w:p w:rsidR="00BF33C7" w:rsidRDefault="00EC583A">
            <w:pPr>
              <w:spacing w:line="420" w:lineRule="exact"/>
              <w:jc w:val="center"/>
              <w:rPr>
                <w:rFonts w:ascii="宋体" w:hAnsi="宋体" w:cs="宋体"/>
                <w:color w:val="000000" w:themeColor="text1"/>
                <w:szCs w:val="21"/>
              </w:rPr>
            </w:pPr>
            <w:r>
              <w:rPr>
                <w:rFonts w:ascii="宋体" w:hAnsi="宋体" w:hint="eastAsia"/>
                <w:color w:val="000000" w:themeColor="text1"/>
                <w:szCs w:val="21"/>
              </w:rPr>
              <w:t>投标人最高实际价值金额</w:t>
            </w:r>
          </w:p>
        </w:tc>
        <w:tc>
          <w:tcPr>
            <w:tcW w:w="1888" w:type="dxa"/>
            <w:vMerge/>
            <w:tcBorders>
              <w:left w:val="nil"/>
              <w:right w:val="nil"/>
            </w:tcBorders>
          </w:tcPr>
          <w:p w:rsidR="00BF33C7" w:rsidRDefault="00BF33C7">
            <w:pPr>
              <w:spacing w:line="420" w:lineRule="exact"/>
              <w:rPr>
                <w:rFonts w:ascii="宋体" w:hAnsi="宋体" w:cs="宋体"/>
                <w:color w:val="000000" w:themeColor="text1"/>
                <w:szCs w:val="21"/>
              </w:rPr>
            </w:pPr>
          </w:p>
        </w:tc>
      </w:tr>
    </w:tbl>
    <w:p w:rsidR="00BF33C7" w:rsidRDefault="00BF33C7">
      <w:pPr>
        <w:jc w:val="left"/>
        <w:rPr>
          <w:rFonts w:ascii="宋体" w:hAnsi="宋体" w:cs="宋体"/>
          <w:color w:val="000000" w:themeColor="text1"/>
          <w:szCs w:val="21"/>
        </w:rPr>
      </w:pPr>
    </w:p>
    <w:p w:rsidR="00BF33C7" w:rsidRDefault="00BF33C7">
      <w:pPr>
        <w:jc w:val="left"/>
        <w:rPr>
          <w:rFonts w:ascii="宋体" w:hAnsi="宋体" w:cs="宋体"/>
          <w:color w:val="000000" w:themeColor="text1"/>
          <w:szCs w:val="21"/>
        </w:rPr>
      </w:pPr>
    </w:p>
    <w:p w:rsidR="00BF33C7" w:rsidRDefault="00BF33C7">
      <w:pPr>
        <w:jc w:val="left"/>
        <w:rPr>
          <w:rFonts w:ascii="宋体" w:hAnsi="宋体" w:cs="宋体"/>
          <w:color w:val="000000" w:themeColor="text1"/>
          <w:szCs w:val="21"/>
        </w:rPr>
      </w:pPr>
    </w:p>
    <w:p w:rsidR="00BF33C7" w:rsidRDefault="00BF33C7">
      <w:pPr>
        <w:spacing w:line="560" w:lineRule="exact"/>
        <w:ind w:firstLineChars="200" w:firstLine="420"/>
        <w:rPr>
          <w:rFonts w:ascii="宋体" w:hAnsi="宋体" w:cs="宋体"/>
          <w:color w:val="000000" w:themeColor="text1"/>
          <w:szCs w:val="21"/>
        </w:rPr>
      </w:pPr>
    </w:p>
    <w:p w:rsidR="00BF33C7" w:rsidRDefault="00EC583A">
      <w:pPr>
        <w:spacing w:line="560" w:lineRule="exact"/>
        <w:ind w:firstLineChars="200" w:firstLine="422"/>
        <w:rPr>
          <w:rFonts w:ascii="宋体" w:hAnsi="宋体" w:cs="宋体"/>
          <w:b/>
          <w:bCs/>
          <w:color w:val="000000" w:themeColor="text1"/>
          <w:szCs w:val="21"/>
        </w:rPr>
      </w:pPr>
      <w:r>
        <w:rPr>
          <w:rFonts w:ascii="宋体" w:hAnsi="宋体" w:cs="宋体" w:hint="eastAsia"/>
          <w:b/>
          <w:bCs/>
          <w:color w:val="000000" w:themeColor="text1"/>
          <w:szCs w:val="21"/>
        </w:rPr>
        <w:t>2、产品品质分················································35分</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投标人提供2种具有代表性的产品，由专家评委现场品尝后酌情打分，横向比较后进行打分。</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a.一档20—30分，产品口味纯正，奶香味浓烈，奶油新鲜、涂抹均匀，入口即化，清爽不腻；内部所夹馅料均匀，层次分明，表层或内部果料新鲜，口感好；蛋糕胚颜色金黄，外形规则，质地柔软，香味浓郁；造型完整新颖，无凹陷，无裂纹。</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b.二档10—19分，产品口味较为纯正，有奶香味，奶油涂抹较均匀、细腻，口感松喧香甜；内部所夹的馅料均匀，表层或内部果料较为新鲜；蛋糕胚颜色稍深或稍浅，质地较硬或较软，香味不足；造型较好，略有邹缩、凹陷、裂纹。</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c.三档1—9分，产品口味一般，甜腻、奶香味不明显，奶油涂抹较粗糙，有异味；内部所夹的馅料均匀，表层或内部果料不太新鲜；蛋糕胚颜色过差，质地过硬或过软；造型不完整，凹陷，有裂纹，易碎。</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食品配料必须健康无害，其中奶油为纯动物奶油并能提供相关证明的得5，否则不得分。</w:t>
      </w:r>
    </w:p>
    <w:p w:rsidR="00BF33C7" w:rsidRDefault="00EC583A">
      <w:pPr>
        <w:spacing w:line="560" w:lineRule="exact"/>
        <w:ind w:firstLineChars="200" w:firstLine="422"/>
        <w:rPr>
          <w:rFonts w:ascii="宋体" w:hAnsi="宋体" w:cs="宋体"/>
          <w:b/>
          <w:bCs/>
          <w:color w:val="000000" w:themeColor="text1"/>
          <w:szCs w:val="21"/>
        </w:rPr>
      </w:pPr>
      <w:r>
        <w:rPr>
          <w:rFonts w:ascii="宋体" w:hAnsi="宋体" w:cs="宋体" w:hint="eastAsia"/>
          <w:b/>
          <w:bCs/>
          <w:color w:val="000000" w:themeColor="text1"/>
          <w:szCs w:val="21"/>
        </w:rPr>
        <w:t>3、服务分····················································10分</w:t>
      </w:r>
    </w:p>
    <w:p w:rsidR="00BF33C7" w:rsidRDefault="00EC583A">
      <w:pPr>
        <w:pStyle w:val="a3"/>
        <w:spacing w:line="368" w:lineRule="auto"/>
        <w:ind w:firstLineChars="200" w:firstLine="420"/>
        <w:outlineLvl w:val="0"/>
        <w:rPr>
          <w:rFonts w:hAnsi="宋体" w:cs="宋体"/>
          <w:color w:val="000000" w:themeColor="text1"/>
          <w:szCs w:val="21"/>
        </w:rPr>
      </w:pPr>
      <w:r>
        <w:rPr>
          <w:rFonts w:hAnsi="宋体" w:cs="宋体" w:hint="eastAsia"/>
          <w:color w:val="000000" w:themeColor="text1"/>
          <w:szCs w:val="21"/>
        </w:rPr>
        <w:t>（1）扶绥县内分店数量（3分）</w:t>
      </w:r>
    </w:p>
    <w:p w:rsidR="00BF33C7" w:rsidRPr="00D14E1B" w:rsidRDefault="00EC583A">
      <w:pPr>
        <w:pStyle w:val="a3"/>
        <w:spacing w:line="368" w:lineRule="auto"/>
        <w:ind w:firstLineChars="450" w:firstLine="945"/>
        <w:outlineLvl w:val="0"/>
        <w:rPr>
          <w:rFonts w:hAnsi="宋体" w:cs="宋体"/>
          <w:color w:val="000000" w:themeColor="text1"/>
          <w:szCs w:val="21"/>
        </w:rPr>
      </w:pPr>
      <w:r w:rsidRPr="00D14E1B">
        <w:rPr>
          <w:rFonts w:hAnsi="宋体" w:cs="宋体" w:hint="eastAsia"/>
          <w:color w:val="000000" w:themeColor="text1"/>
          <w:szCs w:val="21"/>
        </w:rPr>
        <w:t>a.</w:t>
      </w:r>
      <w:r w:rsidR="000C4868" w:rsidRPr="00D14E1B">
        <w:rPr>
          <w:rFonts w:hAnsi="宋体" w:cs="宋体" w:hint="eastAsia"/>
          <w:color w:val="000000" w:themeColor="text1"/>
          <w:szCs w:val="21"/>
        </w:rPr>
        <w:t>等于</w:t>
      </w:r>
      <w:r w:rsidR="000C4868" w:rsidRPr="00D14E1B">
        <w:rPr>
          <w:rFonts w:hAnsi="宋体" w:cs="宋体"/>
          <w:color w:val="000000" w:themeColor="text1"/>
          <w:szCs w:val="21"/>
        </w:rPr>
        <w:t>1</w:t>
      </w:r>
      <w:r w:rsidRPr="00D14E1B">
        <w:rPr>
          <w:rFonts w:hAnsi="宋体" w:cs="宋体" w:hint="eastAsia"/>
          <w:color w:val="000000" w:themeColor="text1"/>
          <w:szCs w:val="21"/>
        </w:rPr>
        <w:t>个得2分；</w:t>
      </w:r>
    </w:p>
    <w:p w:rsidR="00BF33C7" w:rsidRPr="000C4868" w:rsidRDefault="00EC583A">
      <w:pPr>
        <w:pStyle w:val="a3"/>
        <w:spacing w:line="368" w:lineRule="auto"/>
        <w:ind w:firstLineChars="450" w:firstLine="945"/>
        <w:outlineLvl w:val="0"/>
        <w:rPr>
          <w:rFonts w:hAnsi="宋体" w:cs="宋体"/>
          <w:color w:val="000000" w:themeColor="text1"/>
          <w:szCs w:val="21"/>
        </w:rPr>
      </w:pPr>
      <w:r w:rsidRPr="000C4868">
        <w:rPr>
          <w:rFonts w:hAnsi="宋体" w:cs="宋体" w:hint="eastAsia"/>
          <w:color w:val="000000" w:themeColor="text1"/>
          <w:szCs w:val="21"/>
        </w:rPr>
        <w:t>b.</w:t>
      </w:r>
      <w:r w:rsidR="00932EFA" w:rsidRPr="000C4868">
        <w:rPr>
          <w:rFonts w:hAnsi="宋体" w:cs="宋体" w:hint="eastAsia"/>
          <w:color w:val="000000" w:themeColor="text1"/>
          <w:szCs w:val="21"/>
        </w:rPr>
        <w:t>等于或</w:t>
      </w:r>
      <w:r w:rsidRPr="000C4868">
        <w:rPr>
          <w:rFonts w:hAnsi="宋体" w:cs="宋体" w:hint="eastAsia"/>
          <w:color w:val="000000" w:themeColor="text1"/>
          <w:szCs w:val="21"/>
        </w:rPr>
        <w:t>大于2个得3分；</w:t>
      </w:r>
    </w:p>
    <w:p w:rsidR="00BF33C7" w:rsidRDefault="00EC583A">
      <w:pPr>
        <w:pStyle w:val="a3"/>
        <w:spacing w:line="368" w:lineRule="auto"/>
        <w:ind w:firstLineChars="200" w:firstLine="420"/>
        <w:outlineLvl w:val="0"/>
        <w:rPr>
          <w:rFonts w:hAnsi="宋体" w:cs="宋体"/>
          <w:color w:val="000000" w:themeColor="text1"/>
          <w:szCs w:val="21"/>
        </w:rPr>
      </w:pPr>
      <w:r>
        <w:rPr>
          <w:rFonts w:hAnsi="宋体" w:cs="宋体" w:hint="eastAsia"/>
          <w:color w:val="000000" w:themeColor="text1"/>
          <w:szCs w:val="21"/>
        </w:rPr>
        <w:t>（2）送货上门（4分）</w:t>
      </w:r>
    </w:p>
    <w:p w:rsidR="00BF33C7" w:rsidRDefault="00EC583A">
      <w:pPr>
        <w:pStyle w:val="a3"/>
        <w:spacing w:line="368" w:lineRule="auto"/>
        <w:ind w:firstLineChars="450" w:firstLine="945"/>
        <w:outlineLvl w:val="0"/>
        <w:rPr>
          <w:rFonts w:hAnsi="宋体" w:cs="宋体"/>
          <w:color w:val="000000" w:themeColor="text1"/>
          <w:szCs w:val="21"/>
        </w:rPr>
      </w:pPr>
      <w:r>
        <w:rPr>
          <w:rFonts w:hAnsi="宋体" w:cs="宋体" w:hint="eastAsia"/>
          <w:color w:val="000000" w:themeColor="text1"/>
          <w:szCs w:val="21"/>
        </w:rPr>
        <w:t>a.小于等于5公里得2分；</w:t>
      </w:r>
    </w:p>
    <w:p w:rsidR="00BF33C7" w:rsidRDefault="00EC583A">
      <w:pPr>
        <w:pStyle w:val="a3"/>
        <w:spacing w:line="368" w:lineRule="auto"/>
        <w:ind w:firstLineChars="450" w:firstLine="945"/>
        <w:outlineLvl w:val="0"/>
        <w:rPr>
          <w:rFonts w:hAnsi="宋体" w:cs="宋体"/>
          <w:color w:val="000000" w:themeColor="text1"/>
          <w:szCs w:val="21"/>
        </w:rPr>
      </w:pPr>
      <w:r>
        <w:rPr>
          <w:rFonts w:hAnsi="宋体" w:cs="宋体" w:hint="eastAsia"/>
          <w:color w:val="000000" w:themeColor="text1"/>
          <w:szCs w:val="21"/>
        </w:rPr>
        <w:t>b.大于5公里得4分；</w:t>
      </w:r>
    </w:p>
    <w:p w:rsidR="00BF33C7" w:rsidRDefault="00EC583A">
      <w:pPr>
        <w:pStyle w:val="a3"/>
        <w:spacing w:line="368" w:lineRule="auto"/>
        <w:ind w:firstLineChars="200" w:firstLine="420"/>
        <w:outlineLvl w:val="0"/>
        <w:rPr>
          <w:rFonts w:hAnsi="宋体" w:cs="宋体"/>
          <w:color w:val="000000" w:themeColor="text1"/>
          <w:szCs w:val="21"/>
        </w:rPr>
      </w:pPr>
      <w:r>
        <w:rPr>
          <w:rFonts w:hAnsi="宋体" w:cs="宋体" w:hint="eastAsia"/>
          <w:color w:val="000000" w:themeColor="text1"/>
          <w:szCs w:val="21"/>
        </w:rPr>
        <w:t>（3）蛋糕券有效期（3分）：</w:t>
      </w:r>
    </w:p>
    <w:p w:rsidR="00BF33C7" w:rsidRDefault="00EC583A">
      <w:pPr>
        <w:pStyle w:val="a3"/>
        <w:spacing w:line="368" w:lineRule="auto"/>
        <w:ind w:firstLineChars="450" w:firstLine="945"/>
        <w:outlineLvl w:val="0"/>
        <w:rPr>
          <w:rFonts w:hAnsi="宋体" w:cs="宋体"/>
          <w:color w:val="000000" w:themeColor="text1"/>
          <w:szCs w:val="21"/>
        </w:rPr>
      </w:pPr>
      <w:r>
        <w:rPr>
          <w:rFonts w:hAnsi="宋体" w:cs="宋体" w:hint="eastAsia"/>
          <w:color w:val="000000" w:themeColor="text1"/>
          <w:szCs w:val="21"/>
        </w:rPr>
        <w:t>a.大于12个月小于等于24个月得2分；</w:t>
      </w:r>
    </w:p>
    <w:p w:rsidR="00BF33C7" w:rsidRDefault="00EC583A">
      <w:pPr>
        <w:pStyle w:val="a3"/>
        <w:spacing w:line="368" w:lineRule="auto"/>
        <w:ind w:firstLineChars="450" w:firstLine="945"/>
        <w:outlineLvl w:val="0"/>
        <w:rPr>
          <w:rFonts w:hAnsi="宋体" w:cs="宋体"/>
          <w:color w:val="000000" w:themeColor="text1"/>
          <w:szCs w:val="21"/>
        </w:rPr>
      </w:pPr>
      <w:r>
        <w:rPr>
          <w:rFonts w:hAnsi="宋体" w:cs="宋体" w:hint="eastAsia"/>
          <w:color w:val="000000" w:themeColor="text1"/>
          <w:szCs w:val="21"/>
        </w:rPr>
        <w:lastRenderedPageBreak/>
        <w:t>b.大于24个月得3分。</w:t>
      </w:r>
    </w:p>
    <w:p w:rsidR="00BF33C7" w:rsidRDefault="00EC583A">
      <w:pPr>
        <w:spacing w:line="560" w:lineRule="exact"/>
        <w:ind w:firstLineChars="200" w:firstLine="422"/>
        <w:rPr>
          <w:rFonts w:ascii="宋体" w:hAnsi="宋体" w:cs="宋体"/>
          <w:b/>
          <w:bCs/>
          <w:color w:val="000000" w:themeColor="text1"/>
          <w:szCs w:val="21"/>
        </w:rPr>
      </w:pPr>
      <w:r>
        <w:rPr>
          <w:rFonts w:ascii="宋体" w:hAnsi="宋体" w:cs="宋体" w:hint="eastAsia"/>
          <w:b/>
          <w:bCs/>
          <w:color w:val="000000" w:themeColor="text1"/>
          <w:szCs w:val="21"/>
        </w:rPr>
        <w:t>4、商务分··················································5分</w:t>
      </w:r>
    </w:p>
    <w:p w:rsidR="00BF33C7" w:rsidRDefault="00EC583A">
      <w:pPr>
        <w:spacing w:line="560" w:lineRule="exact"/>
        <w:ind w:firstLineChars="200" w:firstLine="420"/>
        <w:rPr>
          <w:rFonts w:ascii="宋体" w:hAnsi="宋体" w:cs="宋体"/>
          <w:color w:val="000000" w:themeColor="text1"/>
          <w:szCs w:val="21"/>
        </w:rPr>
      </w:pPr>
      <w:r w:rsidRPr="00D14E1B">
        <w:rPr>
          <w:rFonts w:ascii="宋体" w:hAnsi="宋体" w:cs="宋体" w:hint="eastAsia"/>
          <w:color w:val="000000" w:themeColor="text1"/>
          <w:szCs w:val="21"/>
        </w:rPr>
        <w:t>（1）</w:t>
      </w:r>
      <w:r w:rsidR="00D14E1B" w:rsidRPr="00D14E1B">
        <w:rPr>
          <w:rFonts w:ascii="宋体" w:hAnsi="宋体" w:cs="宋体" w:hint="eastAsia"/>
          <w:color w:val="000000" w:themeColor="text1"/>
          <w:szCs w:val="21"/>
        </w:rPr>
        <w:t>20</w:t>
      </w:r>
      <w:r w:rsidR="00D14E1B" w:rsidRPr="00D14E1B">
        <w:rPr>
          <w:rFonts w:ascii="宋体" w:hAnsi="宋体" w:cs="宋体"/>
          <w:color w:val="000000" w:themeColor="text1"/>
          <w:szCs w:val="21"/>
        </w:rPr>
        <w:t>21</w:t>
      </w:r>
      <w:r w:rsidRPr="00D14E1B">
        <w:rPr>
          <w:rFonts w:ascii="宋体" w:hAnsi="宋体" w:cs="宋体" w:hint="eastAsia"/>
          <w:color w:val="000000" w:themeColor="text1"/>
          <w:szCs w:val="21"/>
        </w:rPr>
        <w:t>年以来，具</w:t>
      </w:r>
      <w:r>
        <w:rPr>
          <w:rFonts w:ascii="宋体" w:hAnsi="宋体" w:cs="宋体" w:hint="eastAsia"/>
          <w:color w:val="000000" w:themeColor="text1"/>
          <w:szCs w:val="21"/>
        </w:rPr>
        <w:t>有同类项目业绩案例（每个案例的合同</w:t>
      </w:r>
      <w:bookmarkStart w:id="0" w:name="_GoBack"/>
      <w:bookmarkEnd w:id="0"/>
      <w:r>
        <w:rPr>
          <w:rFonts w:ascii="宋体" w:hAnsi="宋体" w:cs="宋体" w:hint="eastAsia"/>
          <w:color w:val="000000" w:themeColor="text1"/>
          <w:szCs w:val="21"/>
        </w:rPr>
        <w:t>金额≥5万元）的，每有一个得1分，满分4分（提交合同、协议或其他证明材料的复印件供评委审核）；</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（2）响应人提供的且被评审小组认可的优惠措施（如其他产品购买的优惠措施等）得1分。</w:t>
      </w:r>
    </w:p>
    <w:p w:rsidR="00BF33C7" w:rsidRDefault="00EC583A">
      <w:pPr>
        <w:spacing w:line="560" w:lineRule="exact"/>
        <w:ind w:firstLineChars="200" w:firstLine="422"/>
        <w:rPr>
          <w:rFonts w:ascii="宋体" w:hAnsi="宋体" w:cs="宋体"/>
          <w:b/>
          <w:bCs/>
          <w:color w:val="000000" w:themeColor="text1"/>
          <w:szCs w:val="21"/>
        </w:rPr>
      </w:pPr>
      <w:r>
        <w:rPr>
          <w:rFonts w:ascii="宋体" w:hAnsi="宋体" w:cs="宋体" w:hint="eastAsia"/>
          <w:b/>
          <w:bCs/>
          <w:color w:val="000000" w:themeColor="text1"/>
          <w:szCs w:val="21"/>
        </w:rPr>
        <w:t>4、总得分=1+2+3+4</w:t>
      </w:r>
    </w:p>
    <w:p w:rsidR="00BF33C7" w:rsidRDefault="00EC583A">
      <w:pPr>
        <w:spacing w:line="560" w:lineRule="exact"/>
        <w:ind w:firstLineChars="200" w:firstLine="422"/>
        <w:rPr>
          <w:rFonts w:ascii="宋体" w:hAnsi="宋体" w:cs="宋体"/>
          <w:b/>
          <w:bCs/>
          <w:color w:val="000000" w:themeColor="text1"/>
          <w:szCs w:val="21"/>
        </w:rPr>
      </w:pPr>
      <w:r>
        <w:rPr>
          <w:rFonts w:ascii="宋体" w:hAnsi="宋体" w:cs="宋体" w:hint="eastAsia"/>
          <w:b/>
          <w:bCs/>
          <w:color w:val="000000" w:themeColor="text1"/>
          <w:szCs w:val="21"/>
        </w:rPr>
        <w:t>5、成交候选人推荐原则</w:t>
      </w:r>
    </w:p>
    <w:p w:rsidR="00BF33C7" w:rsidRDefault="00EC583A">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评审小组将按评审后得分由高到低顺序排列。得分相同的，按竞标报价由低到高顺序排列。得分且竞标报价相同的并列，需要区分排名次序的，依次按产品品质优先、服务方案及承诺优者优先、商务优先的顺序排列。响应文件文件满足竞争性评审文件全部实质性要求，且评审得分最高的供应商为排名第一的成交候选人。采购人应当确定排名第一的成交候选人为成交供应商。除非有法定事由，如排名第一的成交候选人放弃成交、因不可抗力不能履行合同，或者被查实存在影响成交结果的违法行为等情形，不符合成交条件的，该等情况下，采购人可以按照评审小组提出的成交候选人名单排序依次确定其他成交候选人为成交供应商，也可以重新招标。</w:t>
      </w:r>
    </w:p>
    <w:p w:rsidR="00BF33C7" w:rsidRDefault="00EC583A">
      <w:pPr>
        <w:spacing w:line="560" w:lineRule="exact"/>
        <w:ind w:firstLineChars="200" w:firstLine="422"/>
        <w:rPr>
          <w:rFonts w:ascii="宋体" w:hAnsi="宋体" w:cs="宋体"/>
          <w:b/>
          <w:bCs/>
          <w:color w:val="000000" w:themeColor="text1"/>
          <w:szCs w:val="21"/>
        </w:rPr>
      </w:pPr>
      <w:r>
        <w:rPr>
          <w:rFonts w:ascii="宋体" w:hAnsi="宋体" w:cs="宋体" w:hint="eastAsia"/>
          <w:b/>
          <w:bCs/>
          <w:color w:val="000000" w:themeColor="text1"/>
          <w:szCs w:val="21"/>
        </w:rPr>
        <w:t>6、特别说明</w:t>
      </w:r>
    </w:p>
    <w:p w:rsidR="00BF33C7" w:rsidRDefault="00EC583A">
      <w:pPr>
        <w:spacing w:line="560" w:lineRule="exact"/>
        <w:ind w:firstLineChars="200" w:firstLine="420"/>
        <w:rPr>
          <w:rFonts w:hAnsi="宋体"/>
          <w:bCs/>
          <w:color w:val="000000" w:themeColor="text1"/>
          <w:szCs w:val="21"/>
        </w:rPr>
      </w:pPr>
      <w:r>
        <w:rPr>
          <w:rFonts w:hAnsi="宋体" w:cs="宋体" w:hint="eastAsia"/>
          <w:color w:val="000000" w:themeColor="text1"/>
          <w:szCs w:val="21"/>
        </w:rPr>
        <w:t>评审小组认为供应商的竞标报价明显低于其他通过符合性审查供应商的竞标报价，有可能影响服务质量或者不能诚信履约的，应当要求其在评标现场合理的时间内提供书面说明，必要时提交相关证明材料；供应商不能证明其竞标报价合理性的，评审小组应当将其作为无效评审处理。</w:t>
      </w:r>
    </w:p>
    <w:p w:rsidR="00BF33C7" w:rsidRDefault="00BF33C7">
      <w:pPr>
        <w:rPr>
          <w:color w:val="000000" w:themeColor="text1"/>
        </w:rPr>
      </w:pPr>
    </w:p>
    <w:p w:rsidR="00BF33C7" w:rsidRDefault="00BF33C7">
      <w:pPr>
        <w:rPr>
          <w:color w:val="000000" w:themeColor="text1"/>
        </w:rPr>
      </w:pPr>
    </w:p>
    <w:sectPr w:rsidR="00BF33C7" w:rsidSect="00AB06EF">
      <w:headerReference w:type="default" r:id="rId7"/>
      <w:footerReference w:type="default" r:id="rId8"/>
      <w:footerReference w:type="first" r:id="rId9"/>
      <w:pgSz w:w="11906" w:h="16838"/>
      <w:pgMar w:top="1134" w:right="1134" w:bottom="1134" w:left="1134"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AD0" w:rsidRDefault="00106AD0">
      <w:r>
        <w:separator/>
      </w:r>
    </w:p>
  </w:endnote>
  <w:endnote w:type="continuationSeparator" w:id="0">
    <w:p w:rsidR="00106AD0" w:rsidRDefault="0010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C7" w:rsidRDefault="00597A46">
    <w:pPr>
      <w:pStyle w:val="a7"/>
      <w:jc w:val="center"/>
    </w:pPr>
    <w:r>
      <w:fldChar w:fldCharType="begin"/>
    </w:r>
    <w:r w:rsidR="00EC583A">
      <w:instrText>PAGE   \* MERGEFORMAT</w:instrText>
    </w:r>
    <w:r>
      <w:fldChar w:fldCharType="separate"/>
    </w:r>
    <w:r w:rsidR="00D14E1B" w:rsidRPr="00D14E1B">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342572"/>
      <w:docPartObj>
        <w:docPartGallery w:val="Page Numbers (Bottom of Page)"/>
        <w:docPartUnique/>
      </w:docPartObj>
    </w:sdtPr>
    <w:sdtEndPr/>
    <w:sdtContent>
      <w:p w:rsidR="00AB06EF" w:rsidRDefault="00597A46">
        <w:pPr>
          <w:pStyle w:val="a7"/>
          <w:jc w:val="center"/>
        </w:pPr>
        <w:r>
          <w:fldChar w:fldCharType="begin"/>
        </w:r>
        <w:r w:rsidR="00AB06EF">
          <w:instrText>PAGE   \* MERGEFORMAT</w:instrText>
        </w:r>
        <w:r>
          <w:fldChar w:fldCharType="separate"/>
        </w:r>
        <w:r w:rsidR="00D14E1B" w:rsidRPr="00D14E1B">
          <w:rPr>
            <w:noProof/>
            <w:lang w:val="zh-CN"/>
          </w:rPr>
          <w:t>1</w:t>
        </w:r>
        <w:r>
          <w:fldChar w:fldCharType="end"/>
        </w:r>
      </w:p>
    </w:sdtContent>
  </w:sdt>
  <w:p w:rsidR="00AB06EF" w:rsidRDefault="00AB06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AD0" w:rsidRDefault="00106AD0">
      <w:r>
        <w:separator/>
      </w:r>
    </w:p>
  </w:footnote>
  <w:footnote w:type="continuationSeparator" w:id="0">
    <w:p w:rsidR="00106AD0" w:rsidRDefault="00106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C7" w:rsidRDefault="00BF33C7">
    <w:pPr>
      <w:pStyle w:val="a9"/>
      <w:tabs>
        <w:tab w:val="left" w:pos="7110"/>
        <w:tab w:val="right" w:pos="9368"/>
      </w:tabs>
      <w:wordWrap w:val="0"/>
      <w:ind w:right="27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303A"/>
    <w:rsid w:val="00007294"/>
    <w:rsid w:val="000C4868"/>
    <w:rsid w:val="000E303A"/>
    <w:rsid w:val="00106AD0"/>
    <w:rsid w:val="001C4FA5"/>
    <w:rsid w:val="001D144D"/>
    <w:rsid w:val="00237061"/>
    <w:rsid w:val="0036464B"/>
    <w:rsid w:val="003830C3"/>
    <w:rsid w:val="003C2E3D"/>
    <w:rsid w:val="00434268"/>
    <w:rsid w:val="004519E1"/>
    <w:rsid w:val="00597A46"/>
    <w:rsid w:val="005C7248"/>
    <w:rsid w:val="00644972"/>
    <w:rsid w:val="0070446C"/>
    <w:rsid w:val="00851714"/>
    <w:rsid w:val="008872EE"/>
    <w:rsid w:val="0089109F"/>
    <w:rsid w:val="008A6E00"/>
    <w:rsid w:val="008E632A"/>
    <w:rsid w:val="00913FA3"/>
    <w:rsid w:val="00932EFA"/>
    <w:rsid w:val="00A112D6"/>
    <w:rsid w:val="00AB06EF"/>
    <w:rsid w:val="00B528C5"/>
    <w:rsid w:val="00B871E6"/>
    <w:rsid w:val="00BF33C7"/>
    <w:rsid w:val="00D14E1B"/>
    <w:rsid w:val="00D66602"/>
    <w:rsid w:val="00DB0002"/>
    <w:rsid w:val="00DC5264"/>
    <w:rsid w:val="00DF3A13"/>
    <w:rsid w:val="00E30A1D"/>
    <w:rsid w:val="00EC583A"/>
    <w:rsid w:val="00EF1FCB"/>
    <w:rsid w:val="00F10E24"/>
    <w:rsid w:val="00F214AD"/>
    <w:rsid w:val="00F420D8"/>
    <w:rsid w:val="00F81C14"/>
    <w:rsid w:val="00FA5E64"/>
    <w:rsid w:val="00FD70A1"/>
    <w:rsid w:val="00FE56C7"/>
    <w:rsid w:val="1C000C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7F14D"/>
  <w15:docId w15:val="{DA83B78F-89CB-4846-9922-9930E100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4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597A46"/>
    <w:rPr>
      <w:rFonts w:ascii="宋体" w:hAnsi="Courier New" w:cstheme="minorBidi"/>
      <w:szCs w:val="22"/>
    </w:rPr>
  </w:style>
  <w:style w:type="paragraph" w:styleId="a5">
    <w:name w:val="Balloon Text"/>
    <w:basedOn w:val="a"/>
    <w:link w:val="a6"/>
    <w:uiPriority w:val="99"/>
    <w:semiHidden/>
    <w:unhideWhenUsed/>
    <w:rsid w:val="00597A46"/>
    <w:rPr>
      <w:sz w:val="18"/>
      <w:szCs w:val="18"/>
    </w:rPr>
  </w:style>
  <w:style w:type="paragraph" w:styleId="a7">
    <w:name w:val="footer"/>
    <w:basedOn w:val="a"/>
    <w:link w:val="a8"/>
    <w:uiPriority w:val="99"/>
    <w:qFormat/>
    <w:rsid w:val="00597A46"/>
    <w:pPr>
      <w:tabs>
        <w:tab w:val="center" w:pos="4153"/>
        <w:tab w:val="right" w:pos="8306"/>
      </w:tabs>
      <w:snapToGrid w:val="0"/>
      <w:jc w:val="left"/>
    </w:pPr>
    <w:rPr>
      <w:sz w:val="18"/>
      <w:szCs w:val="18"/>
    </w:rPr>
  </w:style>
  <w:style w:type="paragraph" w:styleId="a9">
    <w:name w:val="header"/>
    <w:basedOn w:val="a"/>
    <w:link w:val="aa"/>
    <w:uiPriority w:val="99"/>
    <w:qFormat/>
    <w:rsid w:val="00597A46"/>
    <w:pPr>
      <w:pBdr>
        <w:bottom w:val="single" w:sz="6" w:space="1" w:color="auto"/>
      </w:pBdr>
      <w:tabs>
        <w:tab w:val="center" w:pos="4153"/>
        <w:tab w:val="right" w:pos="8306"/>
      </w:tabs>
      <w:snapToGrid w:val="0"/>
      <w:jc w:val="center"/>
    </w:pPr>
    <w:rPr>
      <w:sz w:val="18"/>
      <w:szCs w:val="18"/>
    </w:rPr>
  </w:style>
  <w:style w:type="character" w:customStyle="1" w:styleId="a4">
    <w:name w:val="纯文本 字符"/>
    <w:link w:val="a3"/>
    <w:qFormat/>
    <w:rsid w:val="00597A46"/>
    <w:rPr>
      <w:rFonts w:ascii="宋体" w:eastAsia="宋体" w:hAnsi="Courier New"/>
    </w:rPr>
  </w:style>
  <w:style w:type="character" w:customStyle="1" w:styleId="Char1">
    <w:name w:val="纯文本 Char1"/>
    <w:basedOn w:val="a0"/>
    <w:uiPriority w:val="99"/>
    <w:semiHidden/>
    <w:rsid w:val="00597A46"/>
    <w:rPr>
      <w:rFonts w:ascii="宋体" w:eastAsia="宋体" w:hAnsi="Courier New" w:cs="Courier New"/>
      <w:szCs w:val="21"/>
    </w:rPr>
  </w:style>
  <w:style w:type="character" w:customStyle="1" w:styleId="a8">
    <w:name w:val="页脚 字符"/>
    <w:basedOn w:val="a0"/>
    <w:link w:val="a7"/>
    <w:uiPriority w:val="99"/>
    <w:qFormat/>
    <w:rsid w:val="00597A46"/>
    <w:rPr>
      <w:rFonts w:ascii="Times New Roman" w:eastAsia="宋体" w:hAnsi="Times New Roman" w:cs="Times New Roman"/>
      <w:sz w:val="18"/>
      <w:szCs w:val="18"/>
    </w:rPr>
  </w:style>
  <w:style w:type="character" w:customStyle="1" w:styleId="aa">
    <w:name w:val="页眉 字符"/>
    <w:basedOn w:val="a0"/>
    <w:link w:val="a9"/>
    <w:uiPriority w:val="99"/>
    <w:rsid w:val="00597A46"/>
    <w:rPr>
      <w:rFonts w:ascii="Times New Roman" w:eastAsia="宋体" w:hAnsi="Times New Roman" w:cs="Times New Roman"/>
      <w:sz w:val="18"/>
      <w:szCs w:val="18"/>
    </w:rPr>
  </w:style>
  <w:style w:type="paragraph" w:styleId="ab">
    <w:name w:val="List Paragraph"/>
    <w:basedOn w:val="a"/>
    <w:qFormat/>
    <w:rsid w:val="00597A46"/>
    <w:pPr>
      <w:ind w:firstLineChars="200" w:firstLine="420"/>
    </w:pPr>
  </w:style>
  <w:style w:type="character" w:customStyle="1" w:styleId="a6">
    <w:name w:val="批注框文本 字符"/>
    <w:basedOn w:val="a0"/>
    <w:link w:val="a5"/>
    <w:uiPriority w:val="99"/>
    <w:semiHidden/>
    <w:rsid w:val="00597A4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ling nong</cp:lastModifiedBy>
  <cp:revision>19</cp:revision>
  <cp:lastPrinted>2023-03-20T02:41:00Z</cp:lastPrinted>
  <dcterms:created xsi:type="dcterms:W3CDTF">2021-05-20T03:34:00Z</dcterms:created>
  <dcterms:modified xsi:type="dcterms:W3CDTF">2024-03-19T07:47:00Z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